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6C8D" w14:textId="18CCD2EA" w:rsidR="005A02A0" w:rsidRPr="008F4EC2" w:rsidRDefault="002F083F" w:rsidP="005109CF">
      <w:pPr>
        <w:spacing w:before="120" w:after="120" w:line="276" w:lineRule="auto"/>
        <w:jc w:val="both"/>
        <w:rPr>
          <w:rFonts w:ascii="Candara" w:eastAsia="MS Mincho" w:hAnsi="Candara" w:cs="Times New Roman"/>
          <w:sz w:val="24"/>
          <w:szCs w:val="24"/>
          <w:lang w:val="hr-HR"/>
        </w:rPr>
      </w:pPr>
      <w:r w:rsidRPr="002F083F">
        <w:rPr>
          <w:rFonts w:ascii="Candara" w:eastAsia="MS Mincho" w:hAnsi="Candara" w:cs="Times New Roman"/>
          <w:sz w:val="24"/>
          <w:szCs w:val="24"/>
          <w:lang w:val="hr-HR"/>
        </w:rPr>
        <w:t xml:space="preserve">TRAVEL EXPERIENCE d.o.o., Frankopanska ulica 11, Zagreb, </w:t>
      </w:r>
      <w:r w:rsidR="00F5252C" w:rsidRPr="002F083F">
        <w:rPr>
          <w:rFonts w:ascii="Candara" w:eastAsia="MS Mincho" w:hAnsi="Candara" w:cs="Times New Roman"/>
          <w:sz w:val="24"/>
          <w:szCs w:val="24"/>
          <w:lang w:val="hr-HR"/>
        </w:rPr>
        <w:t>OIB: 03857142786,</w:t>
      </w:r>
      <w:r w:rsidR="005A02A0" w:rsidRPr="008F4EC2">
        <w:rPr>
          <w:rFonts w:ascii="Candara" w:eastAsia="MS Mincho" w:hAnsi="Candara" w:cs="Times New Roman"/>
          <w:sz w:val="24"/>
          <w:szCs w:val="24"/>
          <w:lang w:val="hr-HR"/>
        </w:rPr>
        <w:t xml:space="preserve"> kojeg zastupa</w:t>
      </w:r>
      <w:r w:rsidR="005F6B00" w:rsidRPr="008F4EC2">
        <w:rPr>
          <w:rFonts w:ascii="Candara" w:eastAsia="MS Mincho" w:hAnsi="Candara" w:cs="Times New Roman"/>
          <w:sz w:val="24"/>
          <w:szCs w:val="24"/>
          <w:lang w:val="hr-HR"/>
        </w:rPr>
        <w:t xml:space="preserve"> Bojan Aljinović</w:t>
      </w:r>
      <w:r w:rsidR="005A02A0" w:rsidRPr="008F4EC2">
        <w:rPr>
          <w:rFonts w:ascii="Candara" w:eastAsia="MS Mincho" w:hAnsi="Candara" w:cs="Times New Roman"/>
          <w:sz w:val="24"/>
          <w:szCs w:val="24"/>
          <w:lang w:val="hr-HR"/>
        </w:rPr>
        <w:t xml:space="preserve"> (u daljnjem tekstu </w:t>
      </w:r>
      <w:r w:rsidR="006F40B8" w:rsidRPr="008F4EC2">
        <w:rPr>
          <w:rFonts w:ascii="Candara" w:eastAsia="MS Mincho" w:hAnsi="Candara" w:cs="Times New Roman"/>
          <w:sz w:val="24"/>
          <w:szCs w:val="24"/>
          <w:lang w:val="hr-HR"/>
        </w:rPr>
        <w:t>Društvo</w:t>
      </w:r>
      <w:r w:rsidR="005A02A0" w:rsidRPr="008F4EC2">
        <w:rPr>
          <w:rFonts w:ascii="Candara" w:eastAsia="MS Mincho" w:hAnsi="Candara" w:cs="Times New Roman"/>
          <w:sz w:val="24"/>
          <w:szCs w:val="24"/>
          <w:lang w:val="hr-HR"/>
        </w:rPr>
        <w:t>)</w:t>
      </w:r>
    </w:p>
    <w:p w14:paraId="6C781FFB" w14:textId="77777777" w:rsidR="005A02A0" w:rsidRPr="008F4EC2" w:rsidRDefault="005A02A0" w:rsidP="006F40B8">
      <w:pPr>
        <w:spacing w:before="120" w:after="120" w:line="276" w:lineRule="auto"/>
        <w:jc w:val="both"/>
        <w:rPr>
          <w:rFonts w:ascii="Candara" w:eastAsia="MS Mincho" w:hAnsi="Candara" w:cs="Times New Roman"/>
          <w:sz w:val="24"/>
          <w:szCs w:val="24"/>
          <w:lang w:val="hr-HR"/>
        </w:rPr>
      </w:pPr>
      <w:r w:rsidRPr="008F4EC2">
        <w:rPr>
          <w:rFonts w:ascii="Candara" w:eastAsia="MS Mincho" w:hAnsi="Candara" w:cs="Times New Roman"/>
          <w:sz w:val="24"/>
          <w:szCs w:val="24"/>
          <w:lang w:val="hr-HR"/>
        </w:rPr>
        <w:t>i</w:t>
      </w:r>
    </w:p>
    <w:p w14:paraId="576FDA51" w14:textId="77777777" w:rsidR="00F2303E" w:rsidRPr="008F4EC2" w:rsidRDefault="003B307B" w:rsidP="006F40B8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ADVENTURE SPIRIT d.o.o. , </w:t>
      </w:r>
      <w:r w:rsidR="005A02A0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Antuna Šoljana 22,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10000 Zagreb, OIB: 72169598754, zastupano po </w:t>
      </w:r>
      <w:r w:rsidR="005A02A0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Damir Crvelin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, direktor (u </w:t>
      </w:r>
      <w:r w:rsidRPr="008F4EC2">
        <w:rPr>
          <w:rFonts w:ascii="Candara" w:hAnsi="Candara"/>
          <w:color w:val="000000"/>
          <w:spacing w:val="-18"/>
          <w:sz w:val="24"/>
          <w:szCs w:val="24"/>
          <w:lang w:val="hr-HR"/>
        </w:rPr>
        <w:t xml:space="preserve">daljnjem tekstu: </w:t>
      </w:r>
      <w:r w:rsidRPr="008F4EC2">
        <w:rPr>
          <w:rFonts w:ascii="Candara" w:hAnsi="Candara"/>
          <w:color w:val="000000"/>
          <w:spacing w:val="-8"/>
          <w:sz w:val="24"/>
          <w:szCs w:val="24"/>
          <w:lang w:val="hr-HR"/>
        </w:rPr>
        <w:t>Konzultant)</w:t>
      </w:r>
    </w:p>
    <w:p w14:paraId="09EA5077" w14:textId="71F79683" w:rsidR="005A02A0" w:rsidRPr="008F4EC2" w:rsidRDefault="003B307B" w:rsidP="001507AE">
      <w:pPr>
        <w:spacing w:before="120" w:after="120" w:line="276" w:lineRule="auto"/>
        <w:jc w:val="both"/>
        <w:rPr>
          <w:rFonts w:ascii="Candara" w:hAnsi="Candara"/>
          <w:color w:val="000000"/>
          <w:spacing w:val="-13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 xml:space="preserve">sklopili su dana </w:t>
      </w:r>
      <w:r w:rsidR="009374C5"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>31</w:t>
      </w:r>
      <w:r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>.0</w:t>
      </w:r>
      <w:r w:rsidR="009374C5"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>5</w:t>
      </w:r>
      <w:r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>.20</w:t>
      </w:r>
      <w:r w:rsidR="005A02A0"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>2</w:t>
      </w:r>
      <w:r w:rsidR="009374C5"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>4</w:t>
      </w:r>
      <w:r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>. godine u Zagrebu sljedeći</w:t>
      </w:r>
    </w:p>
    <w:p w14:paraId="7C2E55F7" w14:textId="77777777" w:rsidR="001507AE" w:rsidRPr="008F4EC2" w:rsidRDefault="001507AE" w:rsidP="001507AE">
      <w:pPr>
        <w:spacing w:before="120" w:after="120" w:line="276" w:lineRule="auto"/>
        <w:jc w:val="both"/>
        <w:rPr>
          <w:rFonts w:ascii="Candara" w:hAnsi="Candara"/>
          <w:color w:val="000000"/>
          <w:spacing w:val="-13"/>
          <w:sz w:val="24"/>
          <w:szCs w:val="24"/>
          <w:lang w:val="hr-HR"/>
        </w:rPr>
      </w:pPr>
    </w:p>
    <w:p w14:paraId="72EE2FA1" w14:textId="786216A9" w:rsidR="005A02A0" w:rsidRPr="008F4EC2" w:rsidRDefault="003B307B" w:rsidP="001507AE">
      <w:pPr>
        <w:spacing w:before="120" w:after="120" w:line="276" w:lineRule="auto"/>
        <w:jc w:val="center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UGOVOR O </w:t>
      </w:r>
      <w:r w:rsidR="006E1DA0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POSLOVNOJ SURADNJI</w:t>
      </w:r>
    </w:p>
    <w:p w14:paraId="09D84C06" w14:textId="77777777" w:rsidR="001507AE" w:rsidRPr="008F4EC2" w:rsidRDefault="001507AE" w:rsidP="006F40B8">
      <w:pPr>
        <w:spacing w:before="120" w:after="120" w:line="276" w:lineRule="auto"/>
        <w:jc w:val="center"/>
        <w:rPr>
          <w:rFonts w:ascii="Candara" w:hAnsi="Candara"/>
          <w:color w:val="000000"/>
          <w:spacing w:val="-2"/>
          <w:sz w:val="24"/>
          <w:szCs w:val="24"/>
          <w:lang w:val="hr-HR"/>
        </w:rPr>
      </w:pPr>
    </w:p>
    <w:p w14:paraId="36A6393C" w14:textId="18A4EB01" w:rsidR="00F2303E" w:rsidRPr="008F4EC2" w:rsidRDefault="003B307B" w:rsidP="00DB369F">
      <w:pPr>
        <w:spacing w:before="240" w:after="240" w:line="276" w:lineRule="auto"/>
        <w:jc w:val="center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Članak 1.</w:t>
      </w:r>
      <w:r w:rsidR="001507AE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Predmet ugovora</w:t>
      </w:r>
    </w:p>
    <w:p w14:paraId="107860E7" w14:textId="0426DC1E" w:rsidR="00015035" w:rsidRPr="008F4EC2" w:rsidRDefault="00015035" w:rsidP="00015035">
      <w:p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Ugovorne strane suglasno </w:t>
      </w:r>
      <w:r w:rsidR="008A64E1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utvrđuju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da je predmet ovog Ugovora poslovna suradnja </w:t>
      </w:r>
      <w:r w:rsidR="008A64E1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između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Naručitelja i </w:t>
      </w:r>
      <w:r w:rsidR="00056C6E">
        <w:rPr>
          <w:rFonts w:ascii="Candara" w:hAnsi="Candara"/>
          <w:color w:val="000000"/>
          <w:spacing w:val="-16"/>
          <w:sz w:val="24"/>
          <w:szCs w:val="24"/>
          <w:lang w:val="hr-HR"/>
        </w:rPr>
        <w:t>Izvršitelj</w:t>
      </w:r>
      <w:r w:rsidR="004C2CE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a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s ciljem obavljanja konzultantskih usluga u okviru Naručiteljevog projekta Usklađenja sa Općom uredbom o zaštiti osobnih podataka (u daljnjem tekstu GDPR), a po Ponudi broj </w:t>
      </w:r>
      <w:r w:rsidR="00C172BE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0211-37/2023 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koja je dostavljena </w:t>
      </w:r>
      <w:r w:rsidR="00525967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Naručitelja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dana </w:t>
      </w:r>
      <w:r w:rsidR="0013400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2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.</w:t>
      </w:r>
      <w:r w:rsidR="0013400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s</w:t>
      </w:r>
      <w:r w:rsidR="0013400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tudenog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20</w:t>
      </w:r>
      <w:r w:rsidR="0013400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23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. godine, </w:t>
      </w:r>
      <w:r w:rsidR="0013400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š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to uklju</w:t>
      </w:r>
      <w:r w:rsidR="0013400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č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uje sljede</w:t>
      </w:r>
      <w:r w:rsidR="0013400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ć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e:</w:t>
      </w:r>
    </w:p>
    <w:p w14:paraId="474CA544" w14:textId="15F70C11" w:rsidR="001C5295" w:rsidRPr="008F4EC2" w:rsidRDefault="001C5295" w:rsidP="001C5295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Usluga usklađenja sa GDPR regulativom koji bi se vodio po principu dogovora </w:t>
      </w:r>
      <w:r w:rsidR="00525967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između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</w:t>
      </w:r>
      <w:r w:rsidR="004C2CE6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Naručitelja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i </w:t>
      </w:r>
      <w:r w:rsidR="00056C6E">
        <w:rPr>
          <w:rFonts w:ascii="Candara" w:hAnsi="Candara"/>
          <w:color w:val="000000"/>
          <w:spacing w:val="-16"/>
          <w:sz w:val="24"/>
          <w:szCs w:val="24"/>
          <w:lang w:val="hr-HR"/>
        </w:rPr>
        <w:t>Izvršitelj</w:t>
      </w:r>
      <w:r w:rsidR="00056C6E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a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uz angažman </w:t>
      </w:r>
      <w:r w:rsidR="00056C6E">
        <w:rPr>
          <w:rFonts w:ascii="Candara" w:hAnsi="Candara"/>
          <w:color w:val="000000"/>
          <w:spacing w:val="-16"/>
          <w:sz w:val="24"/>
          <w:szCs w:val="24"/>
          <w:lang w:val="hr-HR"/>
        </w:rPr>
        <w:t>Izvršitelj</w:t>
      </w:r>
      <w:r w:rsidR="00525967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a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u mjeri koja je nužno potrebna kako bi se tvrtka Naručitelja uskladila s GDPR regulativom.</w:t>
      </w:r>
    </w:p>
    <w:p w14:paraId="21D52FCD" w14:textId="7FD36644" w:rsidR="00134006" w:rsidRPr="008F4EC2" w:rsidRDefault="001C5295" w:rsidP="001C5295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Usluga eksternaliziranog Službenika za zaštitu podataka (DPO) </w:t>
      </w:r>
    </w:p>
    <w:p w14:paraId="58E94BA0" w14:textId="727595F9" w:rsidR="00F2303E" w:rsidRPr="00D53712" w:rsidRDefault="003B307B" w:rsidP="00DB369F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Članak 2.</w:t>
      </w:r>
      <w:r w:rsidR="001507AE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Konzultant</w:t>
      </w:r>
    </w:p>
    <w:p w14:paraId="4A805D29" w14:textId="468CD5E4" w:rsidR="00D721D6" w:rsidRPr="008F4EC2" w:rsidRDefault="00163B21" w:rsidP="00D721D6">
      <w:pPr>
        <w:pStyle w:val="NormalWeb"/>
        <w:rPr>
          <w:rFonts w:ascii="Candara" w:eastAsiaTheme="minorHAnsi" w:hAnsi="Candara" w:cstheme="minorBidi"/>
          <w:color w:val="000000"/>
          <w:spacing w:val="-16"/>
          <w:lang w:val="hr-HR" w:eastAsia="en-US"/>
        </w:rPr>
      </w:pPr>
      <w:r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U ime </w:t>
      </w:r>
      <w:r w:rsidR="00056C6E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>Izvršitelj</w:t>
      </w:r>
      <w:r w:rsidR="00525967"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>a</w:t>
      </w:r>
      <w:r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 angažiran</w:t>
      </w:r>
      <w:r w:rsidR="00D721D6"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 je dr.sc. Daniel</w:t>
      </w:r>
      <w:r w:rsidR="00525967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 </w:t>
      </w:r>
      <w:r w:rsidR="00D721D6"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Bara je </w:t>
      </w:r>
      <w:r w:rsidR="00525967"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>ekspert</w:t>
      </w:r>
      <w:r w:rsidR="00D721D6"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 i stručnjak na području poslova usklađenja sa GDPR-om </w:t>
      </w:r>
      <w:r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(u nastavku Konzultant) </w:t>
      </w:r>
      <w:r w:rsidR="00D721D6"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koji posjeduje </w:t>
      </w:r>
      <w:r w:rsidR="004B1ABE"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sljedeće </w:t>
      </w:r>
      <w:r w:rsidR="00D721D6" w:rsidRPr="008F4EC2">
        <w:rPr>
          <w:rFonts w:ascii="Candara" w:eastAsiaTheme="minorHAnsi" w:hAnsi="Candara" w:cstheme="minorBidi"/>
          <w:color w:val="000000"/>
          <w:spacing w:val="-16"/>
          <w:lang w:val="hr-HR" w:eastAsia="en-US"/>
        </w:rPr>
        <w:t xml:space="preserve">certifikate: </w:t>
      </w:r>
    </w:p>
    <w:p w14:paraId="0578F2D6" w14:textId="77777777" w:rsidR="004B1ABE" w:rsidRPr="008F4EC2" w:rsidRDefault="004B1ABE" w:rsidP="007C0324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PMP - Project Management Professional</w:t>
      </w:r>
    </w:p>
    <w:p w14:paraId="0C08AC60" w14:textId="77777777" w:rsidR="004B1ABE" w:rsidRPr="008F4EC2" w:rsidRDefault="004B1ABE" w:rsidP="007C0324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TOGAF Enterprise Architecture Practitioner</w:t>
      </w:r>
    </w:p>
    <w:p w14:paraId="390AEB65" w14:textId="77777777" w:rsidR="004B1ABE" w:rsidRPr="008F4EC2" w:rsidRDefault="004B1ABE" w:rsidP="007C0324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CIPP/E – Certified Information Privacy Professional</w:t>
      </w:r>
    </w:p>
    <w:p w14:paraId="453C5A1F" w14:textId="058A4B50" w:rsidR="007C0324" w:rsidRPr="008F4EC2" w:rsidRDefault="007C0324" w:rsidP="007C0324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ISO 27001:2022 Lead Auditor</w:t>
      </w:r>
    </w:p>
    <w:p w14:paraId="0483BA70" w14:textId="13D3E73B" w:rsidR="007C0324" w:rsidRPr="008F4EC2" w:rsidRDefault="007C0324" w:rsidP="007C0324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ISO 22301:2018 Lead Auditor</w:t>
      </w:r>
    </w:p>
    <w:p w14:paraId="7EA5A642" w14:textId="77777777" w:rsidR="00F2303E" w:rsidRPr="008F4EC2" w:rsidRDefault="003B307B" w:rsidP="006F40B8">
      <w:pPr>
        <w:spacing w:before="120" w:after="120" w:line="276" w:lineRule="auto"/>
        <w:jc w:val="both"/>
        <w:rPr>
          <w:rFonts w:ascii="Candara" w:hAnsi="Candara"/>
          <w:color w:val="000000"/>
          <w:spacing w:val="-12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2"/>
          <w:sz w:val="24"/>
          <w:szCs w:val="24"/>
          <w:lang w:val="hr-HR"/>
        </w:rPr>
        <w:t>Ukoliko to Društvo nije izričito odobrilo u pisanom obliku, Konzultant nije ovlašten preuzimati obveze u ime Društva.</w:t>
      </w:r>
    </w:p>
    <w:p w14:paraId="33E82298" w14:textId="403990B0" w:rsidR="00F2303E" w:rsidRPr="00D53712" w:rsidRDefault="003B307B" w:rsidP="00DB369F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Članak 3.</w:t>
      </w:r>
      <w:r w:rsidR="001507AE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Obaveze </w:t>
      </w:r>
      <w:r w:rsidR="00056C6E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Izvršitelj</w:t>
      </w:r>
      <w:r w:rsid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a</w:t>
      </w:r>
    </w:p>
    <w:p w14:paraId="4F59E077" w14:textId="2717AC54" w:rsidR="00CC6570" w:rsidRPr="008F4EC2" w:rsidRDefault="00D53712" w:rsidP="00567267">
      <w:p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bookmarkStart w:id="0" w:name="_Toc149819113"/>
      <w:r>
        <w:rPr>
          <w:rFonts w:ascii="Candara" w:hAnsi="Candara"/>
          <w:color w:val="000000"/>
          <w:spacing w:val="-16"/>
          <w:sz w:val="24"/>
          <w:szCs w:val="24"/>
          <w:lang w:val="hr-HR"/>
        </w:rPr>
        <w:t>U</w:t>
      </w:r>
      <w:r w:rsidR="00CC6570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sluge </w:t>
      </w:r>
      <w:r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koje obavlja </w:t>
      </w:r>
      <w:r w:rsidR="00056C6E">
        <w:rPr>
          <w:rFonts w:ascii="Candara" w:hAnsi="Candara"/>
          <w:color w:val="000000"/>
          <w:spacing w:val="-16"/>
          <w:sz w:val="24"/>
          <w:szCs w:val="24"/>
          <w:lang w:val="hr-HR"/>
        </w:rPr>
        <w:t>Izvršitelj</w:t>
      </w:r>
      <w:r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</w:t>
      </w:r>
      <w:r w:rsidR="00CC6570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iz članka 1. obuhvaćaju:</w:t>
      </w:r>
    </w:p>
    <w:p w14:paraId="264C53AC" w14:textId="619A5D0D" w:rsidR="00AB4FCB" w:rsidRPr="008F4EC2" w:rsidRDefault="00AB4FCB" w:rsidP="00567267">
      <w:p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Faza 1 – Procjena trenutnog stanja</w:t>
      </w:r>
      <w:bookmarkEnd w:id="0"/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uključuje snimku stanja, revizija podataka, procjena spremnosti organizacije  i aktivnosti vezanih za osobne podatke te procjena rizika</w:t>
      </w:r>
    </w:p>
    <w:p w14:paraId="5932BCC2" w14:textId="77777777" w:rsidR="00AB4FCB" w:rsidRPr="008F4EC2" w:rsidRDefault="00AB4FCB" w:rsidP="00567267">
      <w:p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lastRenderedPageBreak/>
        <w:t xml:space="preserve">Ova faza uključuje pripremu liste provjera, provođenje intervjua, izrade i ispunjavanja odgovarajućih predložaka i obrazaca, snimku organizacijskih procesa, procedura, tijeku i lokacijama obrade podataka, utvrđivanje potencijalnih rizika koji proizlaze iz uočenih nedostataka i pravnih praznina s naglaskom na razinu utjecaja koje imaju na organizaciju ili predstavljaju njenu znatnu izloženost. </w:t>
      </w:r>
    </w:p>
    <w:p w14:paraId="0A803F10" w14:textId="77777777" w:rsidR="00AB4FCB" w:rsidRPr="008F4EC2" w:rsidRDefault="00AB4FCB" w:rsidP="00567267">
      <w:p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Rezultat ove faze je početna analiza i procjena jaza (Gap Analysis) koja predstavlja temelj za daljnji rad na uskladbi s GDPR-om te analiza specifičnih rizika koji proizlaze iz postupka obrade podataka, a u svrhu prioritizacije redoslijeda poduzimanja formalnih koraka u procesu usklađivanja s GDPR uredbom. </w:t>
      </w:r>
    </w:p>
    <w:p w14:paraId="75000175" w14:textId="77777777" w:rsidR="00AB4FCB" w:rsidRPr="008F4EC2" w:rsidRDefault="00AB4FCB" w:rsidP="00567267">
      <w:p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bookmarkStart w:id="1" w:name="_Toc149819114"/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Faza  2 – Dizajn i plan projekta implementacije</w:t>
      </w:r>
      <w:bookmarkEnd w:id="1"/>
    </w:p>
    <w:p w14:paraId="6B83FB5B" w14:textId="1DE00403" w:rsidR="00F2303E" w:rsidRPr="008F4EC2" w:rsidRDefault="00AB4FCB" w:rsidP="004011A7">
      <w:pPr>
        <w:spacing w:before="120" w:after="120" w:line="276" w:lineRule="auto"/>
        <w:jc w:val="both"/>
        <w:rPr>
          <w:rFonts w:ascii="Candara" w:hAnsi="Candara"/>
          <w:color w:val="000000"/>
          <w:spacing w:val="-16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>Koristeći nalaze iz prethodne faze, očekuje</w:t>
      </w:r>
      <w:r w:rsidR="00567267"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se</w:t>
      </w:r>
      <w:r w:rsidRPr="008F4EC2">
        <w:rPr>
          <w:rFonts w:ascii="Candara" w:hAnsi="Candara"/>
          <w:color w:val="000000"/>
          <w:spacing w:val="-16"/>
          <w:sz w:val="24"/>
          <w:szCs w:val="24"/>
          <w:lang w:val="hr-HR"/>
        </w:rPr>
        <w:t xml:space="preserve"> operativno definiranje akcija koje treba poduzeti, a koje su identificirane u GAP analizi, te prijedlog sveobuhvatnog pravnog i organizacijskog okvira u svrhu potrebnog regulativnog usuglašavanja, koji će uključivati interne procedure, preporuke, smjernice za organizacijske, tehničke i HR procese. Nadalje, očekuje se prijedlog potrebnih politika, pravilnika, odluka, ugovora, IT alata i dr. u svrhu  usuglašavanja postojećih aktivnosti sa zahtjevima koji proizlaze iz Uredbe. </w:t>
      </w:r>
    </w:p>
    <w:p w14:paraId="05196638" w14:textId="62D81BB6" w:rsidR="00F2303E" w:rsidRPr="008F4EC2" w:rsidRDefault="003B307B" w:rsidP="006F40B8">
      <w:p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Konzultant je obvezan u razumno vrijeme biti dostupan i na zahtjev Društva pružiti pomoć ili informacije koje Društvo </w:t>
      </w:r>
      <w:r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 xml:space="preserve">može zahtijevati a tiču se njegovog angažmana na </w:t>
      </w:r>
      <w:r w:rsidR="00AB1B23"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 xml:space="preserve">konzultantskim poslovima </w:t>
      </w:r>
      <w:r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>opisanih u</w:t>
      </w:r>
      <w:r w:rsidR="004011A7" w:rsidRPr="008F4EC2">
        <w:rPr>
          <w:rFonts w:ascii="Candara" w:hAnsi="Candara"/>
          <w:color w:val="000000"/>
          <w:spacing w:val="-13"/>
          <w:sz w:val="24"/>
          <w:szCs w:val="24"/>
          <w:lang w:val="hr-HR"/>
        </w:rPr>
        <w:t xml:space="preserve"> </w:t>
      </w:r>
      <w:r w:rsidR="004011A7" w:rsidRPr="008F4EC2">
        <w:rPr>
          <w:rFonts w:ascii="Candara" w:hAnsi="Candara"/>
          <w:color w:val="000000"/>
          <w:spacing w:val="-12"/>
          <w:sz w:val="24"/>
          <w:szCs w:val="24"/>
          <w:lang w:val="hr-HR"/>
        </w:rPr>
        <w:t xml:space="preserve">ovom </w:t>
      </w:r>
      <w:r w:rsidRPr="008F4EC2">
        <w:rPr>
          <w:rFonts w:ascii="Candara" w:hAnsi="Candara"/>
          <w:color w:val="000000"/>
          <w:spacing w:val="-12"/>
          <w:sz w:val="24"/>
          <w:szCs w:val="24"/>
          <w:lang w:val="hr-HR"/>
        </w:rPr>
        <w:t>Ugovor</w:t>
      </w:r>
      <w:r w:rsidR="004011A7" w:rsidRPr="008F4EC2">
        <w:rPr>
          <w:rFonts w:ascii="Candara" w:hAnsi="Candara"/>
          <w:color w:val="000000"/>
          <w:spacing w:val="-12"/>
          <w:sz w:val="24"/>
          <w:szCs w:val="24"/>
          <w:lang w:val="hr-HR"/>
        </w:rPr>
        <w:t>u</w:t>
      </w:r>
      <w:r w:rsidRPr="008F4EC2">
        <w:rPr>
          <w:rFonts w:ascii="Candara" w:hAnsi="Candara"/>
          <w:color w:val="000000"/>
          <w:spacing w:val="-12"/>
          <w:sz w:val="24"/>
          <w:szCs w:val="24"/>
          <w:lang w:val="hr-HR"/>
        </w:rPr>
        <w:t>.</w:t>
      </w:r>
    </w:p>
    <w:p w14:paraId="6CFAAC6B" w14:textId="77777777" w:rsidR="00F2303E" w:rsidRPr="008F4EC2" w:rsidRDefault="003B307B" w:rsidP="006F40B8">
      <w:pPr>
        <w:spacing w:before="120" w:after="120" w:line="276" w:lineRule="auto"/>
        <w:jc w:val="both"/>
        <w:rPr>
          <w:rFonts w:ascii="Candara" w:hAnsi="Candara"/>
          <w:color w:val="000000"/>
          <w:spacing w:val="-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Ugovorne strane suglasno utvrđuju da ništa u ovom Ugovoru ne čini Ugovaratelja/Konzultanta ili Imenovano osoblje </w:t>
      </w:r>
      <w:r w:rsidRPr="008F4EC2">
        <w:rPr>
          <w:rFonts w:ascii="Candara" w:hAnsi="Candara"/>
          <w:color w:val="000000"/>
          <w:spacing w:val="-11"/>
          <w:sz w:val="24"/>
          <w:szCs w:val="24"/>
          <w:lang w:val="hr-HR"/>
        </w:rPr>
        <w:t xml:space="preserve">radnikom, zastupnikom ili partnerom Društva, te se Ugovaratelj/Konzultant nema pravo tako predstavljati trećim </w:t>
      </w:r>
      <w:r w:rsidRPr="008F4EC2">
        <w:rPr>
          <w:rFonts w:ascii="Candara" w:hAnsi="Candara"/>
          <w:color w:val="000000"/>
          <w:spacing w:val="-4"/>
          <w:sz w:val="24"/>
          <w:szCs w:val="24"/>
          <w:lang w:val="hr-HR"/>
        </w:rPr>
        <w:t>osobama.</w:t>
      </w:r>
    </w:p>
    <w:p w14:paraId="6731ACA5" w14:textId="691C29BD" w:rsidR="00C3592A" w:rsidRPr="00D53712" w:rsidRDefault="00C3592A" w:rsidP="00DB369F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Članak 4. Obaveze </w:t>
      </w:r>
      <w:r w:rsidR="00980039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Naručitelja</w:t>
      </w:r>
    </w:p>
    <w:p w14:paraId="5CFF8FEB" w14:textId="4F5EB031" w:rsidR="00C3592A" w:rsidRPr="008F4EC2" w:rsidRDefault="00C3592A" w:rsidP="00C3592A">
      <w:p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Obaveze Naručitelj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a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uključuju</w:t>
      </w:r>
      <w:r w:rsidR="00E7102A">
        <w:rPr>
          <w:rFonts w:ascii="Candara" w:hAnsi="Candara"/>
          <w:color w:val="000000"/>
          <w:spacing w:val="-14"/>
          <w:sz w:val="24"/>
          <w:szCs w:val="24"/>
          <w:lang w:val="hr-HR"/>
        </w:rPr>
        <w:t>:</w:t>
      </w:r>
    </w:p>
    <w:p w14:paraId="36240B2C" w14:textId="02B856BB" w:rsidR="00C3592A" w:rsidRPr="008F4EC2" w:rsidRDefault="00C3592A" w:rsidP="00C3592A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definiranje projektnog tima za </w:t>
      </w:r>
      <w:r w:rsidR="00980039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usklađenje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sa GDPR-om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o organizacija i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koordinacija aktivnosti sa 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č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lanovima projektnog tima za uskla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đ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enje sa GDPR regulativom</w:t>
      </w:r>
    </w:p>
    <w:p w14:paraId="28993805" w14:textId="77777777" w:rsidR="00717DD6" w:rsidRPr="008F4EC2" w:rsidRDefault="00C3592A" w:rsidP="00C3592A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koordinacija aktivnosti prema AZOP-u</w:t>
      </w:r>
    </w:p>
    <w:p w14:paraId="032E1488" w14:textId="673E5856" w:rsidR="00717DD6" w:rsidRPr="008F4EC2" w:rsidRDefault="00C3592A" w:rsidP="00C3592A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suradnja s 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Konzultantom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na aktivnostima koje </w:t>
      </w:r>
      <w:r w:rsidR="00980039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uključuju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anga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ž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man 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Konzultanta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</w:t>
      </w:r>
    </w:p>
    <w:p w14:paraId="1608EA82" w14:textId="5209A8AA" w:rsidR="00C3592A" w:rsidRPr="008F4EC2" w:rsidRDefault="00C3592A" w:rsidP="00C3592A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pla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ć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anje naknade </w:t>
      </w:r>
      <w:r w:rsidR="00056C6E">
        <w:rPr>
          <w:rFonts w:ascii="Candara" w:hAnsi="Candara"/>
          <w:color w:val="000000"/>
          <w:spacing w:val="-14"/>
          <w:sz w:val="24"/>
          <w:szCs w:val="24"/>
          <w:lang w:val="hr-HR"/>
        </w:rPr>
        <w:t>Izvršitelj</w:t>
      </w:r>
      <w:r w:rsidR="00980039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u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</w:t>
      </w:r>
    </w:p>
    <w:p w14:paraId="6F192802" w14:textId="11CF7128" w:rsidR="00C3592A" w:rsidRPr="00D53712" w:rsidRDefault="00717DD6" w:rsidP="00DB369F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</w:t>
      </w:r>
      <w:r w:rsidR="00C3592A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lanak 5. Nastupan</w:t>
      </w:r>
      <w:r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j</w:t>
      </w:r>
      <w:r w:rsidR="00C3592A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e</w:t>
      </w:r>
    </w:p>
    <w:p w14:paraId="3320CA11" w14:textId="09D0FBD6" w:rsidR="00C3592A" w:rsidRPr="008F4EC2" w:rsidRDefault="00056C6E" w:rsidP="00C3592A">
      <w:p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>
        <w:rPr>
          <w:rFonts w:ascii="Candara" w:hAnsi="Candara"/>
          <w:color w:val="000000"/>
          <w:spacing w:val="-14"/>
          <w:sz w:val="24"/>
          <w:szCs w:val="24"/>
          <w:lang w:val="hr-HR"/>
        </w:rPr>
        <w:t>Izvršitelj</w:t>
      </w:r>
      <w:r w:rsidR="00C3592A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se pri izvr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š</w:t>
      </w:r>
      <w:r w:rsidR="00C3592A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enju usluga iz 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č</w:t>
      </w:r>
      <w:r w:rsidR="00C3592A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lanka 1. ovog Ugovora obvezuje </w:t>
      </w:r>
    </w:p>
    <w:p w14:paraId="4C11EE9A" w14:textId="7924A207" w:rsidR="00717DD6" w:rsidRPr="008F4EC2" w:rsidRDefault="00C3592A" w:rsidP="00717DD6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brinuti o interesima </w:t>
      </w:r>
      <w:r w:rsidR="00980039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Naručitelja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pa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ž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njom dobrog gospodarstvenika i postupati sukladno njegovim uputama</w:t>
      </w:r>
    </w:p>
    <w:p w14:paraId="0BF4B2E3" w14:textId="06B6C26F" w:rsidR="00C3592A" w:rsidRPr="008F4EC2" w:rsidRDefault="00C3592A" w:rsidP="00717DD6">
      <w:pPr>
        <w:pStyle w:val="ListParagraph"/>
        <w:numPr>
          <w:ilvl w:val="0"/>
          <w:numId w:val="20"/>
        </w:numPr>
        <w:spacing w:before="120" w:after="120" w:line="276" w:lineRule="auto"/>
        <w:jc w:val="both"/>
        <w:rPr>
          <w:rFonts w:ascii="Candara" w:hAnsi="Candara"/>
          <w:color w:val="000000"/>
          <w:spacing w:val="-14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nastupati pod svojim imenom, u svojstvu 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Konzultanta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 Naru</w:t>
      </w:r>
      <w:r w:rsidR="00717DD6"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>č</w:t>
      </w:r>
      <w:r w:rsidRPr="008F4EC2">
        <w:rPr>
          <w:rFonts w:ascii="Candara" w:hAnsi="Candara"/>
          <w:color w:val="000000"/>
          <w:spacing w:val="-14"/>
          <w:sz w:val="24"/>
          <w:szCs w:val="24"/>
          <w:lang w:val="hr-HR"/>
        </w:rPr>
        <w:t xml:space="preserve">itelja. </w:t>
      </w:r>
    </w:p>
    <w:p w14:paraId="7B2C9D95" w14:textId="5BFBAB59" w:rsidR="002203F3" w:rsidRPr="00D53712" w:rsidRDefault="002203F3" w:rsidP="00DB369F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Članak 6. </w:t>
      </w:r>
      <w:r w:rsidR="00980039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Cjenik</w:t>
      </w:r>
      <w:r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i plaćanje </w:t>
      </w:r>
    </w:p>
    <w:p w14:paraId="1EABF52B" w14:textId="6484A84C" w:rsidR="002203F3" w:rsidRPr="008F4EC2" w:rsidRDefault="002203F3" w:rsidP="002203F3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Za ugovoreno djelo </w:t>
      </w:r>
      <w:r w:rsidR="00980039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Naručitelj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se obvezuje platiti </w:t>
      </w:r>
      <w:r w:rsidR="00056C6E">
        <w:rPr>
          <w:rFonts w:ascii="Candara" w:hAnsi="Candara"/>
          <w:color w:val="000000"/>
          <w:spacing w:val="-15"/>
          <w:sz w:val="24"/>
          <w:szCs w:val="24"/>
          <w:lang w:val="hr-HR"/>
        </w:rPr>
        <w:t>Izvršitelj</w:t>
      </w:r>
      <w:r w:rsidR="004C2CE6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u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</w:t>
      </w:r>
      <w:r w:rsidR="004C2CE6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novčanu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naknadu u iznosu od </w:t>
      </w:r>
    </w:p>
    <w:p w14:paraId="5015636A" w14:textId="666DD0A4" w:rsidR="00BD6EDB" w:rsidRPr="008F4EC2" w:rsidRDefault="00BD6EDB" w:rsidP="00BD6EDB">
      <w:pPr>
        <w:pStyle w:val="ListParagraph"/>
        <w:numPr>
          <w:ilvl w:val="0"/>
          <w:numId w:val="25"/>
        </w:num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1.800,00 EUR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(slovima: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tisućuosamstotinaeura za uslugu iz članka 1 stavak </w:t>
      </w:r>
      <w:r w:rsidR="00BE7948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1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.</w:t>
      </w:r>
    </w:p>
    <w:p w14:paraId="5281C7E7" w14:textId="5C8B682E" w:rsidR="00BE7948" w:rsidRPr="008F4EC2" w:rsidRDefault="00BE7948" w:rsidP="00BE7948">
      <w:pPr>
        <w:pStyle w:val="ListParagraph"/>
        <w:numPr>
          <w:ilvl w:val="0"/>
          <w:numId w:val="25"/>
        </w:num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lastRenderedPageBreak/>
        <w:t>mjesečnu naknadu u iznosu od od 180,00 EUR (slovima: stotinuosamdeseteura) za uslugu iz članka 1. stavak 2.</w:t>
      </w:r>
    </w:p>
    <w:p w14:paraId="3C1EBA39" w14:textId="41B9AC79" w:rsidR="00F6432F" w:rsidRPr="008F4EC2" w:rsidRDefault="002203F3" w:rsidP="00F6432F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Naknad</w:t>
      </w:r>
      <w:r w:rsidR="00BE7948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e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</w:t>
      </w:r>
      <w:r w:rsidR="00F6432F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za uslugu iz članka 1 stavak</w:t>
      </w:r>
      <w:r w:rsidR="008F4EC2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1</w:t>
      </w:r>
      <w:r w:rsidR="00F6432F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se pla</w:t>
      </w:r>
      <w:r w:rsidR="00BE7948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a</w:t>
      </w:r>
      <w:r w:rsidR="00BE7948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ju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uplatom na </w:t>
      </w:r>
      <w:r w:rsidR="00BE7948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Ž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iro ra</w:t>
      </w:r>
      <w:r w:rsidR="00F6432F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un </w:t>
      </w:r>
      <w:r w:rsidR="00056C6E">
        <w:rPr>
          <w:rFonts w:ascii="Candara" w:hAnsi="Candara"/>
          <w:color w:val="000000"/>
          <w:spacing w:val="-15"/>
          <w:sz w:val="24"/>
          <w:szCs w:val="24"/>
          <w:lang w:val="hr-HR"/>
        </w:rPr>
        <w:t>Izvršitelj</w:t>
      </w:r>
      <w:r w:rsidR="004C2CE6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a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HR6624840081135059502 </w:t>
      </w:r>
      <w:r w:rsidR="00F6432F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otvoren kod </w:t>
      </w:r>
      <w:r w:rsidR="004C2CE6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Raiffeisen Bank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Austria d.d., Zagreb u tri dijela:</w:t>
      </w:r>
    </w:p>
    <w:p w14:paraId="33D970FB" w14:textId="51F8EEA6" w:rsidR="009F1F11" w:rsidRPr="008F4EC2" w:rsidRDefault="009F1F11" w:rsidP="009F1F11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9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00,00 </w:t>
      </w:r>
      <w:r w:rsidR="00F6432F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EUR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(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5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0%) - pri potpisivanju ugovora, a temeljem ra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una</w:t>
      </w:r>
    </w:p>
    <w:p w14:paraId="729AD83B" w14:textId="03EFE300" w:rsidR="003571B4" w:rsidRPr="008F4EC2" w:rsidRDefault="003571B4" w:rsidP="009F1F11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360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,00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EUR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(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2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0%) - nakon zavr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etka I faze</w:t>
      </w:r>
      <w:r w:rsidR="00A7675D">
        <w:rPr>
          <w:rFonts w:ascii="Candara" w:hAnsi="Candara"/>
          <w:color w:val="000000"/>
          <w:spacing w:val="-15"/>
          <w:sz w:val="24"/>
          <w:szCs w:val="24"/>
          <w:lang w:val="hr-HR"/>
        </w:rPr>
        <w:t>;</w:t>
      </w:r>
    </w:p>
    <w:p w14:paraId="2060F0FA" w14:textId="11C5FB09" w:rsidR="002203F3" w:rsidRPr="008F4EC2" w:rsidRDefault="003571B4" w:rsidP="009F1F11">
      <w:pPr>
        <w:pStyle w:val="ListParagraph"/>
        <w:numPr>
          <w:ilvl w:val="0"/>
          <w:numId w:val="26"/>
        </w:num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540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,00 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EUR 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(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3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0%) - </w:t>
      </w:r>
      <w:r w:rsidR="006D233C">
        <w:rPr>
          <w:rFonts w:ascii="Candara" w:hAnsi="Candara"/>
          <w:color w:val="000000"/>
          <w:spacing w:val="-15"/>
          <w:sz w:val="24"/>
          <w:szCs w:val="24"/>
          <w:lang w:val="hr-HR"/>
        </w:rPr>
        <w:t>završe</w:t>
      </w:r>
      <w:r w:rsidR="004C2CE6">
        <w:rPr>
          <w:rFonts w:ascii="Candara" w:hAnsi="Candara"/>
          <w:color w:val="000000"/>
          <w:spacing w:val="-15"/>
          <w:sz w:val="24"/>
          <w:szCs w:val="24"/>
          <w:lang w:val="hr-HR"/>
        </w:rPr>
        <w:t>tkom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</w:t>
      </w:r>
      <w:r w:rsidR="006D233C">
        <w:rPr>
          <w:rFonts w:ascii="Candara" w:hAnsi="Candara"/>
          <w:color w:val="000000"/>
          <w:spacing w:val="-15"/>
          <w:sz w:val="24"/>
          <w:szCs w:val="24"/>
          <w:lang w:val="hr-HR"/>
        </w:rPr>
        <w:t>II faze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, ali ne kasnije od 15.09.20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24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., na temelju ra</w:t>
      </w:r>
      <w:r w:rsidR="008F4EC2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una </w:t>
      </w:r>
      <w:r w:rsidR="00056C6E">
        <w:rPr>
          <w:rFonts w:ascii="Candara" w:hAnsi="Candara"/>
          <w:color w:val="000000"/>
          <w:spacing w:val="-15"/>
          <w:sz w:val="24"/>
          <w:szCs w:val="24"/>
          <w:lang w:val="hr-HR"/>
        </w:rPr>
        <w:t>Izvršitelj</w:t>
      </w:r>
      <w:r w:rsidR="004C2CE6">
        <w:rPr>
          <w:rFonts w:ascii="Candara" w:hAnsi="Candara"/>
          <w:color w:val="000000"/>
          <w:spacing w:val="-15"/>
          <w:sz w:val="24"/>
          <w:szCs w:val="24"/>
          <w:lang w:val="hr-HR"/>
        </w:rPr>
        <w:t>a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</w:t>
      </w:r>
    </w:p>
    <w:p w14:paraId="2E9BD03F" w14:textId="68120876" w:rsidR="008F4EC2" w:rsidRPr="008F4EC2" w:rsidRDefault="008F4EC2" w:rsidP="008F4EC2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Naknada za uslugu iz članka 1 stavak 2 se plaća uplatom na Žiro račun </w:t>
      </w:r>
      <w:r w:rsidR="00056C6E">
        <w:rPr>
          <w:rFonts w:ascii="Candara" w:hAnsi="Candara"/>
          <w:color w:val="000000"/>
          <w:spacing w:val="-15"/>
          <w:sz w:val="24"/>
          <w:szCs w:val="24"/>
          <w:lang w:val="hr-HR"/>
        </w:rPr>
        <w:t>Izvršitelj</w:t>
      </w:r>
      <w:r w:rsidR="004C2CE6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a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HR6624840081135059502 otvoren kod </w:t>
      </w:r>
      <w:r w:rsidR="004C2CE6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Raiffeisen Bank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Austria d.d., Zagreb mjesečno po ispostavljenom računu. Prvi račun dolazi na naplatu u zadnjem danu mjeseca u kojem je zaključen ugovor. </w:t>
      </w:r>
    </w:p>
    <w:p w14:paraId="420958CC" w14:textId="3BBC522B" w:rsidR="002203F3" w:rsidRPr="008F4EC2" w:rsidRDefault="002203F3" w:rsidP="002203F3">
      <w:pPr>
        <w:pStyle w:val="NormalWeb"/>
        <w:rPr>
          <w:rFonts w:ascii="Candara" w:eastAsiaTheme="minorHAnsi" w:hAnsi="Candara" w:cstheme="minorBidi"/>
          <w:color w:val="000000"/>
          <w:spacing w:val="-15"/>
          <w:lang w:val="hr-HR" w:eastAsia="en-US"/>
        </w:rPr>
      </w:pPr>
      <w:r w:rsidRPr="008F4EC2">
        <w:rPr>
          <w:rFonts w:ascii="Candara" w:eastAsiaTheme="minorHAnsi" w:hAnsi="Candara" w:cstheme="minorBidi"/>
          <w:color w:val="000000"/>
          <w:spacing w:val="-15"/>
          <w:lang w:val="hr-HR" w:eastAsia="en-US"/>
        </w:rPr>
        <w:t>PDV u cijelosti snosi Naru</w:t>
      </w:r>
      <w:r w:rsidR="00E7102A">
        <w:rPr>
          <w:rFonts w:ascii="Candara" w:eastAsiaTheme="minorHAnsi" w:hAnsi="Candara" w:cstheme="minorBidi"/>
          <w:color w:val="000000"/>
          <w:spacing w:val="-15"/>
          <w:lang w:val="hr-HR" w:eastAsia="en-US"/>
        </w:rPr>
        <w:t>či</w:t>
      </w:r>
      <w:r w:rsidRPr="008F4EC2">
        <w:rPr>
          <w:rFonts w:ascii="Candara" w:eastAsiaTheme="minorHAnsi" w:hAnsi="Candara" w:cstheme="minorBidi"/>
          <w:color w:val="000000"/>
          <w:spacing w:val="-15"/>
          <w:lang w:val="hr-HR" w:eastAsia="en-US"/>
        </w:rPr>
        <w:t xml:space="preserve">telj. </w:t>
      </w:r>
    </w:p>
    <w:p w14:paraId="7BA069DD" w14:textId="40CF19F8" w:rsidR="002203F3" w:rsidRPr="00D53712" w:rsidRDefault="008F4EC2" w:rsidP="008F4EC2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</w:t>
      </w:r>
      <w:r w:rsidR="002203F3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lanak 7. </w:t>
      </w:r>
      <w:r w:rsidR="004C2CE6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I</w:t>
      </w:r>
      <w:r w:rsidR="004C2CE6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ntelektualno</w:t>
      </w:r>
      <w:r w:rsidR="002203F3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</w:t>
      </w:r>
      <w:r w:rsidR="004C2CE6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vlasništvo</w:t>
      </w:r>
      <w:r w:rsidR="002203F3" w:rsidRPr="00D53712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</w:t>
      </w:r>
    </w:p>
    <w:p w14:paraId="540A48BB" w14:textId="01172107" w:rsidR="002203F3" w:rsidRPr="008F4EC2" w:rsidRDefault="00056C6E" w:rsidP="008F4EC2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Izvršitelj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jam</w:t>
      </w:r>
      <w:r w:rsidR="004C2CE6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i da svi materijali koje proizvede temeljem ovog Ugovora ne zadiru u prava intelektualnog vlasni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tva tre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ih osoba, odnosno da je na njima regulirao ista o svom tro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ku te odgovara za svaku 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tetu koja nastane povredom tu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đ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ih prava intelektualnog vlasni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="002203F3"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tva. </w:t>
      </w:r>
    </w:p>
    <w:p w14:paraId="29951B1B" w14:textId="16C1E997" w:rsidR="002203F3" w:rsidRDefault="002203F3" w:rsidP="008F4EC2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Naru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itelj stje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e pravo na naru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enu uslugu i sve materijale proizvedene u sklopu ovog Ugovora koristiti u namjene za koje su bili i izra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đ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eni, bez ikakvih sadr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ž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ajnih, vremenskih i prostornih ograni</w:t>
      </w:r>
      <w:r w:rsid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Pr="008F4EC2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enja. </w:t>
      </w:r>
    </w:p>
    <w:p w14:paraId="657997EF" w14:textId="43A3B0DD" w:rsidR="00D53712" w:rsidRPr="00E7102A" w:rsidRDefault="00E7102A" w:rsidP="00E7102A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</w:t>
      </w:r>
      <w:r w:rsidR="00D53712" w:rsidRPr="00E7102A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lanak 8. Razm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j</w:t>
      </w:r>
      <w:r w:rsidR="00D53712" w:rsidRPr="00E7102A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ena i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</w:t>
      </w:r>
      <w:r w:rsidR="00D53712" w:rsidRPr="00E7102A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ta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j</w:t>
      </w:r>
      <w:r w:rsidR="00D53712" w:rsidRPr="00E7102A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nost podataka </w:t>
      </w:r>
    </w:p>
    <w:p w14:paraId="6C53F7E2" w14:textId="637E985E" w:rsidR="00E7102A" w:rsidRDefault="00D53712" w:rsidP="00E7102A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Tijekom obavljanja poslova koji su predmet ovog Ugovora, ugovorne strane </w:t>
      </w:r>
      <w:r w:rsid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e razmjenjivati podatke koji se smatraju tajnima.</w:t>
      </w:r>
    </w:p>
    <w:p w14:paraId="04C69447" w14:textId="3CB4BFA8" w:rsidR="00D53712" w:rsidRPr="00E7102A" w:rsidRDefault="00E7102A" w:rsidP="00E7102A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U</w:t>
      </w:r>
      <w:r w:rsidR="00D53712"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govorne strane se obvezuju da 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="00D53712"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e svaki tako deklarirani podatak smatrati poslovnom tajnom i ne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="00D53712"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e ga otkriti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</w:t>
      </w:r>
      <w:r w:rsidR="00D53712"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tre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="00D53712"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im osobama, niti koristiti u bilo koju svrhu osim u svrhu izvr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="00D53712"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enja obveza iz ovog Ugovora, ali imaju pravo navo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đ</w:t>
      </w:r>
      <w:r w:rsidR="00D53712"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enja tvrtke (imena) druge ugovorne strane na referentnom popisu svojih klijenata. </w:t>
      </w:r>
    </w:p>
    <w:p w14:paraId="51332336" w14:textId="77AEF225" w:rsidR="00D53712" w:rsidRPr="00E7102A" w:rsidRDefault="00D53712" w:rsidP="00E7102A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Ugovorne strane </w:t>
      </w:r>
      <w:r w:rsid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e u svrhu za</w:t>
      </w:r>
      <w:r w:rsid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tite povjerljivosti informacija po sklapanju ovog Ugovora obostrano potpisati </w:t>
      </w:r>
      <w:r w:rsidR="004C2CE6"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>izjavu</w:t>
      </w:r>
      <w:r w:rsidRPr="00E7102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o povjerljivosti, koja se smatra sastavnim dijelom ovog Ugovora. </w:t>
      </w:r>
    </w:p>
    <w:p w14:paraId="7BD5F8D9" w14:textId="0AE3BAEF" w:rsidR="003745A5" w:rsidRPr="003745A5" w:rsidRDefault="003745A5" w:rsidP="003745A5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Dokumentaciju koja je nastala tijekom realizacije pojedinog projekta, ugovorne strane se obvezuju koristiti samo za potrebe predmetnog projekta te je </w:t>
      </w:r>
      <w:r w:rsidR="004C2CE6"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neće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prenositi na druge pravne i </w:t>
      </w:r>
      <w:r w:rsidR="004C2CE6"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fizičke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osobe. </w:t>
      </w:r>
    </w:p>
    <w:p w14:paraId="5AB88535" w14:textId="4D0821C3" w:rsidR="003745A5" w:rsidRPr="003745A5" w:rsidRDefault="00A7675D" w:rsidP="003745A5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</w:t>
      </w:r>
      <w:r w:rsidR="003745A5"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lanak 9. Otkazivan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j</w:t>
      </w:r>
      <w:r w:rsidR="003745A5"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e </w:t>
      </w:r>
    </w:p>
    <w:p w14:paraId="0485CAF1" w14:textId="4A94D28F" w:rsidR="0026344A" w:rsidRPr="0026344A" w:rsidRDefault="0026344A" w:rsidP="0026344A">
      <w:pPr>
        <w:spacing w:before="240" w:after="24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26344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Ugovorne strane imaju pravo otkazati ovaj ugovor pisanom obavijesti upućenoj drugoj ugovornoj strani sa otkaznim rokom od 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30</w:t>
      </w:r>
      <w:r w:rsidRPr="0026344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(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trideset</w:t>
      </w:r>
      <w:r w:rsidRPr="0026344A">
        <w:rPr>
          <w:rFonts w:ascii="Candara" w:hAnsi="Candara"/>
          <w:color w:val="000000"/>
          <w:spacing w:val="-15"/>
          <w:sz w:val="24"/>
          <w:szCs w:val="24"/>
          <w:lang w:val="hr-HR"/>
        </w:rPr>
        <w:t>) dana.</w:t>
      </w:r>
    </w:p>
    <w:p w14:paraId="5AAAA73B" w14:textId="77777777" w:rsidR="0026344A" w:rsidRDefault="0026344A" w:rsidP="0026344A">
      <w:pPr>
        <w:spacing w:before="240" w:after="24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26344A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Svaka ugovorna strana ima pravo raskinuti ovaj ugovor u slučaju povrede ugovornih odredbi od druge ugovorne strane, pod uvjetom da je pisanim putem obavijestila drugu stranu o uočenoj povredi te da druga strana u naknadno danom roku od prijema obavijesti nije ispravila uočenu povredu. U slučaju raskida </w:t>
      </w:r>
      <w:r w:rsidRPr="0026344A">
        <w:rPr>
          <w:rFonts w:ascii="Candara" w:hAnsi="Candara"/>
          <w:color w:val="000000"/>
          <w:spacing w:val="-15"/>
          <w:sz w:val="24"/>
          <w:szCs w:val="24"/>
          <w:lang w:val="hr-HR"/>
        </w:rPr>
        <w:lastRenderedPageBreak/>
        <w:t xml:space="preserve">ili otkaza ovog Ugovora, ugovorne strane obvezne su izvršiti sve obveze preuzete do dana otkaza odnosno raskida. </w:t>
      </w:r>
    </w:p>
    <w:p w14:paraId="065D1E31" w14:textId="3FC09897" w:rsidR="003745A5" w:rsidRPr="003745A5" w:rsidRDefault="00E72D87" w:rsidP="0026344A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Čl</w:t>
      </w:r>
      <w:r w:rsidR="003745A5"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anak 10. Tra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j</w:t>
      </w:r>
      <w:r w:rsidR="003745A5"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an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je</w:t>
      </w:r>
      <w:r w:rsidR="003745A5"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</w:t>
      </w:r>
    </w:p>
    <w:p w14:paraId="0A58053E" w14:textId="77777777" w:rsidR="008A64E1" w:rsidRDefault="008A64E1" w:rsidP="003745A5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8A64E1">
        <w:rPr>
          <w:rFonts w:ascii="Candara" w:hAnsi="Candara"/>
          <w:color w:val="000000"/>
          <w:spacing w:val="-15"/>
          <w:sz w:val="24"/>
          <w:szCs w:val="24"/>
          <w:lang w:val="hr-HR"/>
        </w:rPr>
        <w:t>Ovaj ugovor obvezuje ugovaratelje s danom potpisa a sklapa se na rok od godinu dana od dana potpisa Ugovora, a ukoliko se ne otkaže mjesec dana prije isteka roka, automatski se produžuje na narednu godinu dana.</w:t>
      </w:r>
    </w:p>
    <w:p w14:paraId="0A4FAD76" w14:textId="22F67391" w:rsidR="003745A5" w:rsidRPr="003745A5" w:rsidRDefault="004C2CE6" w:rsidP="003745A5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izmjene</w:t>
      </w:r>
      <w:r w:rsidR="003745A5"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i dopune ovog Ugovora valjane su isklju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="003745A5"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ivo ako su sastavljene u pisanom obliku i ovjerene od obje ugovorne strane. </w:t>
      </w:r>
    </w:p>
    <w:p w14:paraId="2DBE3FEA" w14:textId="0375CCA0" w:rsidR="003745A5" w:rsidRPr="003745A5" w:rsidRDefault="008A64E1" w:rsidP="003745A5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</w:t>
      </w:r>
      <w:r w:rsidR="003745A5"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lanak 11. Sporovi </w:t>
      </w:r>
    </w:p>
    <w:p w14:paraId="76A6C8C0" w14:textId="47A3F359" w:rsidR="003745A5" w:rsidRPr="003745A5" w:rsidRDefault="003745A5" w:rsidP="00E72D87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Ugovorne strane su suglasne da 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e eventualne sporove iz ovog Ugovora rje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avati sporazumno, a ukoliko to nije mogu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e kona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no 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ć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e se rije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iti arbitra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ž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om u skladu s </w:t>
      </w:r>
      <w:r w:rsidR="004C2CE6"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va</w:t>
      </w:r>
      <w:r w:rsidR="004C2CE6">
        <w:rPr>
          <w:rFonts w:ascii="Candara" w:hAnsi="Candara"/>
          <w:color w:val="000000"/>
          <w:spacing w:val="-15"/>
          <w:sz w:val="24"/>
          <w:szCs w:val="24"/>
          <w:lang w:val="hr-HR"/>
        </w:rPr>
        <w:t>ž</w:t>
      </w:r>
      <w:r w:rsidR="004C2CE6"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e</w:t>
      </w:r>
      <w:r w:rsidR="004C2CE6">
        <w:rPr>
          <w:rFonts w:ascii="Candara" w:hAnsi="Candara"/>
          <w:color w:val="000000"/>
          <w:spacing w:val="-15"/>
          <w:sz w:val="24"/>
          <w:szCs w:val="24"/>
          <w:lang w:val="hr-HR"/>
        </w:rPr>
        <w:t>ći</w:t>
      </w:r>
      <w:r w:rsidR="004C2CE6"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m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Pravilnikom o arbitra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ž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i pri Stalnom izabranom sudi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š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tu Hrvatske gospodarske komore (Zagreba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č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kim pravilima). </w:t>
      </w:r>
    </w:p>
    <w:p w14:paraId="7770584C" w14:textId="6BC4E688" w:rsidR="003745A5" w:rsidRPr="003745A5" w:rsidRDefault="003745A5" w:rsidP="003745A5">
      <w:pPr>
        <w:spacing w:before="240" w:after="240" w:line="276" w:lineRule="auto"/>
        <w:jc w:val="center"/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</w:pP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Č</w:t>
      </w:r>
      <w:r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lanak 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1</w:t>
      </w:r>
      <w:r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2.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</w:t>
      </w:r>
      <w:r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Bro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j</w:t>
      </w:r>
      <w:r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 prim</w:t>
      </w:r>
      <w:r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>j</w:t>
      </w:r>
      <w:r w:rsidRPr="003745A5">
        <w:rPr>
          <w:rFonts w:ascii="Candara" w:hAnsi="Candara"/>
          <w:b/>
          <w:bCs/>
          <w:color w:val="000000"/>
          <w:spacing w:val="-14"/>
          <w:sz w:val="24"/>
          <w:szCs w:val="24"/>
          <w:lang w:val="hr-HR"/>
        </w:rPr>
        <w:t xml:space="preserve">eraka </w:t>
      </w:r>
    </w:p>
    <w:p w14:paraId="135007B1" w14:textId="11AAEFF4" w:rsidR="008F4EC2" w:rsidRPr="003745A5" w:rsidRDefault="003745A5" w:rsidP="003745A5">
      <w:pPr>
        <w:spacing w:before="120" w:after="120" w:line="276" w:lineRule="auto"/>
        <w:jc w:val="both"/>
        <w:rPr>
          <w:rFonts w:ascii="Candara" w:hAnsi="Candara"/>
          <w:color w:val="000000"/>
          <w:spacing w:val="-15"/>
          <w:sz w:val="24"/>
          <w:szCs w:val="24"/>
          <w:lang w:val="hr-HR"/>
        </w:rPr>
      </w:pP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Ovaj Ugovor je sasta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v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ljen u 2 (dva)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istovjetna primjeraka, od kojih svaka ugovorna strana zadr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ž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ava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po 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1 (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>jedan</w:t>
      </w:r>
      <w:r>
        <w:rPr>
          <w:rFonts w:ascii="Candara" w:hAnsi="Candara"/>
          <w:color w:val="000000"/>
          <w:spacing w:val="-15"/>
          <w:sz w:val="24"/>
          <w:szCs w:val="24"/>
          <w:lang w:val="hr-HR"/>
        </w:rPr>
        <w:t>)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 prim</w:t>
      </w:r>
      <w:r w:rsidR="00E72D87">
        <w:rPr>
          <w:rFonts w:ascii="Candara" w:hAnsi="Candara"/>
          <w:color w:val="000000"/>
          <w:spacing w:val="-15"/>
          <w:sz w:val="24"/>
          <w:szCs w:val="24"/>
          <w:lang w:val="hr-HR"/>
        </w:rPr>
        <w:t>j</w:t>
      </w:r>
      <w:r w:rsidRPr="003745A5">
        <w:rPr>
          <w:rFonts w:ascii="Candara" w:hAnsi="Candara"/>
          <w:color w:val="000000"/>
          <w:spacing w:val="-15"/>
          <w:sz w:val="24"/>
          <w:szCs w:val="24"/>
          <w:lang w:val="hr-HR"/>
        </w:rPr>
        <w:t xml:space="preserve">erak. </w:t>
      </w:r>
    </w:p>
    <w:p w14:paraId="71036AA3" w14:textId="77777777" w:rsidR="00BF694F" w:rsidRPr="008F4EC2" w:rsidRDefault="00BF694F" w:rsidP="00BF694F">
      <w:pPr>
        <w:spacing w:line="23" w:lineRule="atLeast"/>
        <w:rPr>
          <w:rFonts w:ascii="Candara" w:eastAsia="MS Mincho" w:hAnsi="Candara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3190"/>
        <w:gridCol w:w="3052"/>
      </w:tblGrid>
      <w:tr w:rsidR="00BF694F" w:rsidRPr="003745A5" w14:paraId="5E250324" w14:textId="77777777" w:rsidTr="00E72D87">
        <w:tc>
          <w:tcPr>
            <w:tcW w:w="2840" w:type="dxa"/>
          </w:tcPr>
          <w:p w14:paraId="2B1EF63D" w14:textId="77777777" w:rsidR="00BF694F" w:rsidRPr="008F4EC2" w:rsidRDefault="00BF694F" w:rsidP="001F02CC">
            <w:pPr>
              <w:spacing w:line="23" w:lineRule="atLeast"/>
              <w:jc w:val="center"/>
              <w:rPr>
                <w:rFonts w:ascii="Candara" w:eastAsia="MS Mincho" w:hAnsi="Candara" w:cs="Times New Roman"/>
                <w:sz w:val="24"/>
                <w:szCs w:val="24"/>
              </w:rPr>
            </w:pPr>
            <w:r w:rsidRPr="008F4EC2">
              <w:rPr>
                <w:rFonts w:ascii="Candara" w:eastAsia="MS Mincho" w:hAnsi="Candara" w:cs="Times New Roman"/>
                <w:sz w:val="24"/>
                <w:szCs w:val="24"/>
              </w:rPr>
              <w:t>ADVENTURE SPIRIT d.o.o.</w:t>
            </w:r>
          </w:p>
        </w:tc>
        <w:tc>
          <w:tcPr>
            <w:tcW w:w="3190" w:type="dxa"/>
          </w:tcPr>
          <w:p w14:paraId="5DD941C6" w14:textId="77777777" w:rsidR="00BF694F" w:rsidRPr="008F4EC2" w:rsidRDefault="00BF694F" w:rsidP="001F02CC">
            <w:pPr>
              <w:spacing w:line="23" w:lineRule="atLeast"/>
              <w:rPr>
                <w:rFonts w:ascii="Candara" w:eastAsia="MS Mincho" w:hAnsi="Candara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14:paraId="72BD2AEF" w14:textId="6DD56482" w:rsidR="00BF694F" w:rsidRPr="008F4EC2" w:rsidRDefault="003745A5" w:rsidP="001F02CC">
            <w:pPr>
              <w:spacing w:line="23" w:lineRule="atLeast"/>
              <w:jc w:val="center"/>
              <w:rPr>
                <w:rFonts w:ascii="Candara" w:eastAsia="MS Mincho" w:hAnsi="Candara" w:cs="Times New Roman"/>
                <w:sz w:val="24"/>
                <w:szCs w:val="24"/>
              </w:rPr>
            </w:pPr>
            <w:r>
              <w:rPr>
                <w:rFonts w:ascii="Candara" w:eastAsia="MS Mincho" w:hAnsi="Candara" w:cs="Times New Roman"/>
                <w:sz w:val="24"/>
                <w:szCs w:val="24"/>
              </w:rPr>
              <w:t xml:space="preserve">KOMPAS </w:t>
            </w:r>
            <w:r w:rsidR="00BF694F" w:rsidRPr="008F4EC2">
              <w:rPr>
                <w:rFonts w:ascii="Candara" w:eastAsia="MS Mincho" w:hAnsi="Candara" w:cs="Times New Roman"/>
                <w:sz w:val="24"/>
                <w:szCs w:val="24"/>
              </w:rPr>
              <w:t>d.o.o.</w:t>
            </w:r>
          </w:p>
        </w:tc>
      </w:tr>
      <w:tr w:rsidR="00BF694F" w:rsidRPr="003745A5" w14:paraId="79BA9E63" w14:textId="77777777" w:rsidTr="00E72D87">
        <w:trPr>
          <w:trHeight w:val="1022"/>
        </w:trPr>
        <w:tc>
          <w:tcPr>
            <w:tcW w:w="2840" w:type="dxa"/>
            <w:tcBorders>
              <w:bottom w:val="single" w:sz="4" w:space="0" w:color="auto"/>
            </w:tcBorders>
          </w:tcPr>
          <w:p w14:paraId="4CF660B5" w14:textId="77777777" w:rsidR="00BF694F" w:rsidRPr="008F4EC2" w:rsidRDefault="00BF694F" w:rsidP="001F02CC">
            <w:pPr>
              <w:spacing w:line="23" w:lineRule="atLeast"/>
              <w:jc w:val="center"/>
              <w:rPr>
                <w:rFonts w:ascii="Candara" w:eastAsia="MS Mincho" w:hAnsi="Candara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2E8D76C" w14:textId="77777777" w:rsidR="00BF694F" w:rsidRPr="008F4EC2" w:rsidRDefault="00BF694F" w:rsidP="001F02CC">
            <w:pPr>
              <w:spacing w:line="23" w:lineRule="atLeast"/>
              <w:rPr>
                <w:rFonts w:ascii="Candara" w:eastAsia="MS Mincho" w:hAnsi="Candara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99D11A4" w14:textId="77777777" w:rsidR="00BF694F" w:rsidRPr="008F4EC2" w:rsidRDefault="00BF694F" w:rsidP="001F02CC">
            <w:pPr>
              <w:spacing w:line="23" w:lineRule="atLeast"/>
              <w:jc w:val="center"/>
              <w:rPr>
                <w:rFonts w:ascii="Candara" w:eastAsia="MS Mincho" w:hAnsi="Candara" w:cs="Times New Roman"/>
                <w:sz w:val="24"/>
                <w:szCs w:val="24"/>
              </w:rPr>
            </w:pPr>
          </w:p>
        </w:tc>
      </w:tr>
      <w:tr w:rsidR="00BF694F" w:rsidRPr="008F4EC2" w14:paraId="2C098C32" w14:textId="77777777" w:rsidTr="00E72D87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075B25B1" w14:textId="77777777" w:rsidR="00BF694F" w:rsidRPr="008F4EC2" w:rsidRDefault="00BF694F" w:rsidP="001F02CC">
            <w:pPr>
              <w:spacing w:line="23" w:lineRule="atLeast"/>
              <w:jc w:val="center"/>
              <w:rPr>
                <w:rFonts w:ascii="Candara" w:hAnsi="Candara"/>
                <w:sz w:val="24"/>
                <w:szCs w:val="24"/>
              </w:rPr>
            </w:pPr>
            <w:r w:rsidRPr="008F4EC2">
              <w:rPr>
                <w:rFonts w:ascii="Candara" w:hAnsi="Candara"/>
                <w:sz w:val="24"/>
                <w:szCs w:val="24"/>
              </w:rPr>
              <w:t xml:space="preserve">Damir Crvelin </w:t>
            </w:r>
          </w:p>
          <w:p w14:paraId="4EC1B62A" w14:textId="77777777" w:rsidR="00BF694F" w:rsidRPr="008F4EC2" w:rsidRDefault="00BF694F" w:rsidP="001F02CC">
            <w:pPr>
              <w:spacing w:line="23" w:lineRule="atLeast"/>
              <w:jc w:val="center"/>
              <w:rPr>
                <w:rFonts w:ascii="Candara" w:eastAsia="MS Mincho" w:hAnsi="Candara" w:cs="Times New Roman"/>
                <w:sz w:val="24"/>
                <w:szCs w:val="24"/>
              </w:rPr>
            </w:pPr>
            <w:r w:rsidRPr="008F4EC2">
              <w:rPr>
                <w:rFonts w:ascii="Candara" w:hAnsi="Candara"/>
                <w:sz w:val="24"/>
                <w:szCs w:val="24"/>
              </w:rPr>
              <w:t>Direktor</w:t>
            </w:r>
          </w:p>
        </w:tc>
        <w:tc>
          <w:tcPr>
            <w:tcW w:w="3190" w:type="dxa"/>
          </w:tcPr>
          <w:p w14:paraId="7876524E" w14:textId="77777777" w:rsidR="00BF694F" w:rsidRPr="008F4EC2" w:rsidRDefault="00BF694F" w:rsidP="001F02CC">
            <w:pPr>
              <w:spacing w:line="23" w:lineRule="atLeast"/>
              <w:rPr>
                <w:rFonts w:ascii="Candara" w:eastAsia="MS Mincho" w:hAnsi="Candara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14:paraId="6E406D80" w14:textId="1C204208" w:rsidR="00BF694F" w:rsidRPr="008F4EC2" w:rsidRDefault="00E72D87" w:rsidP="001F02CC">
            <w:pPr>
              <w:spacing w:line="23" w:lineRule="atLeast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Bojan Aljinović</w:t>
            </w:r>
          </w:p>
          <w:p w14:paraId="38B5A862" w14:textId="77777777" w:rsidR="00BF694F" w:rsidRPr="008F4EC2" w:rsidRDefault="00BF694F" w:rsidP="001F02CC">
            <w:pPr>
              <w:spacing w:line="23" w:lineRule="atLeast"/>
              <w:jc w:val="center"/>
              <w:rPr>
                <w:rFonts w:ascii="Candara" w:eastAsia="MS Mincho" w:hAnsi="Candara" w:cs="Times New Roman"/>
                <w:sz w:val="24"/>
                <w:szCs w:val="24"/>
              </w:rPr>
            </w:pPr>
            <w:r w:rsidRPr="008F4EC2">
              <w:rPr>
                <w:rFonts w:ascii="Candara" w:hAnsi="Candara"/>
                <w:sz w:val="24"/>
                <w:szCs w:val="24"/>
              </w:rPr>
              <w:t>Predsjednik uprave</w:t>
            </w:r>
          </w:p>
        </w:tc>
      </w:tr>
      <w:tr w:rsidR="00BF694F" w:rsidRPr="008F4EC2" w14:paraId="1C4D9F20" w14:textId="77777777" w:rsidTr="00E72D87">
        <w:tc>
          <w:tcPr>
            <w:tcW w:w="2840" w:type="dxa"/>
            <w:tcBorders>
              <w:top w:val="single" w:sz="4" w:space="0" w:color="auto"/>
            </w:tcBorders>
          </w:tcPr>
          <w:p w14:paraId="055436C8" w14:textId="77777777" w:rsidR="00BF694F" w:rsidRPr="008F4EC2" w:rsidRDefault="00BF694F" w:rsidP="001F02CC">
            <w:pPr>
              <w:spacing w:line="23" w:lineRule="atLeas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AC63741" w14:textId="77777777" w:rsidR="00BF694F" w:rsidRPr="008F4EC2" w:rsidRDefault="00BF694F" w:rsidP="001F02CC">
            <w:pPr>
              <w:spacing w:line="23" w:lineRule="atLeast"/>
              <w:rPr>
                <w:rFonts w:ascii="Candara" w:eastAsia="MS Mincho" w:hAnsi="Candara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14:paraId="71426C9C" w14:textId="77777777" w:rsidR="00BF694F" w:rsidRPr="008F4EC2" w:rsidRDefault="00BF694F" w:rsidP="001F02CC">
            <w:pPr>
              <w:spacing w:line="23" w:lineRule="atLeas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F7280DE" w14:textId="77777777" w:rsidR="00BF694F" w:rsidRPr="008F4EC2" w:rsidRDefault="00BF694F" w:rsidP="00BF694F">
      <w:pPr>
        <w:spacing w:line="23" w:lineRule="atLeast"/>
        <w:rPr>
          <w:rFonts w:ascii="Candara" w:eastAsia="MS Mincho" w:hAnsi="Candara" w:cs="Times New Roman"/>
          <w:sz w:val="24"/>
          <w:szCs w:val="24"/>
          <w:lang w:val="hr-HR"/>
        </w:rPr>
      </w:pPr>
    </w:p>
    <w:p w14:paraId="64564923" w14:textId="7D3B9F6C" w:rsidR="006F40B8" w:rsidRPr="008A64E1" w:rsidRDefault="006F40B8" w:rsidP="008A64E1">
      <w:pPr>
        <w:rPr>
          <w:rFonts w:ascii="Candara" w:hAnsi="Candara"/>
          <w:color w:val="000000"/>
          <w:spacing w:val="-16"/>
          <w:sz w:val="24"/>
          <w:szCs w:val="24"/>
          <w:lang w:val="hr-HR"/>
        </w:rPr>
      </w:pPr>
    </w:p>
    <w:sectPr w:rsidR="006F40B8" w:rsidRPr="008A64E1" w:rsidSect="006F40B8">
      <w:pgSz w:w="11918" w:h="16854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DBB"/>
    <w:multiLevelType w:val="multilevel"/>
    <w:tmpl w:val="4A204108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b/>
        <w:strike w:val="0"/>
        <w:color w:val="000000"/>
        <w:spacing w:val="-4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26B89"/>
    <w:multiLevelType w:val="multilevel"/>
    <w:tmpl w:val="48067C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08764D"/>
    <w:multiLevelType w:val="multilevel"/>
    <w:tmpl w:val="6C9E7FA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3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722A6"/>
    <w:multiLevelType w:val="hybridMultilevel"/>
    <w:tmpl w:val="00D65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15CA"/>
    <w:multiLevelType w:val="hybridMultilevel"/>
    <w:tmpl w:val="104C9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01F6"/>
    <w:multiLevelType w:val="hybridMultilevel"/>
    <w:tmpl w:val="DEDA0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6B35D5"/>
    <w:multiLevelType w:val="multilevel"/>
    <w:tmpl w:val="EF80B7F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5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25A36"/>
    <w:multiLevelType w:val="multilevel"/>
    <w:tmpl w:val="44F24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ECE7A60"/>
    <w:multiLevelType w:val="hybridMultilevel"/>
    <w:tmpl w:val="F4C4A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6370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A84CF3"/>
    <w:multiLevelType w:val="hybridMultilevel"/>
    <w:tmpl w:val="7D106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50ADA"/>
    <w:multiLevelType w:val="multilevel"/>
    <w:tmpl w:val="064AC4A0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894EDF"/>
    <w:multiLevelType w:val="hybridMultilevel"/>
    <w:tmpl w:val="1A2E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019B"/>
    <w:multiLevelType w:val="hybridMultilevel"/>
    <w:tmpl w:val="AB463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13BA9"/>
    <w:multiLevelType w:val="hybridMultilevel"/>
    <w:tmpl w:val="E3303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B2109"/>
    <w:multiLevelType w:val="hybridMultilevel"/>
    <w:tmpl w:val="FCB65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0043D"/>
    <w:multiLevelType w:val="hybridMultilevel"/>
    <w:tmpl w:val="783E7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10B"/>
    <w:multiLevelType w:val="hybridMultilevel"/>
    <w:tmpl w:val="5D0ACAB8"/>
    <w:lvl w:ilvl="0" w:tplc="A0C405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B23C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DB68A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FC66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A2FF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B56C1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FA27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E281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9940E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D7067E"/>
    <w:multiLevelType w:val="hybridMultilevel"/>
    <w:tmpl w:val="5CB61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4C687E"/>
    <w:multiLevelType w:val="multilevel"/>
    <w:tmpl w:val="44F24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7EB3D02"/>
    <w:multiLevelType w:val="multilevel"/>
    <w:tmpl w:val="5E1858A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1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086B2B"/>
    <w:multiLevelType w:val="multilevel"/>
    <w:tmpl w:val="EA7071D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B413B55"/>
    <w:multiLevelType w:val="hybridMultilevel"/>
    <w:tmpl w:val="82E06670"/>
    <w:lvl w:ilvl="0" w:tplc="100056F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17F14"/>
    <w:multiLevelType w:val="hybridMultilevel"/>
    <w:tmpl w:val="E1EE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D2FE5"/>
    <w:multiLevelType w:val="hybridMultilevel"/>
    <w:tmpl w:val="3AD08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41C5A"/>
    <w:multiLevelType w:val="hybridMultilevel"/>
    <w:tmpl w:val="C534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3393">
    <w:abstractNumId w:val="20"/>
  </w:num>
  <w:num w:numId="2" w16cid:durableId="1773478315">
    <w:abstractNumId w:val="6"/>
  </w:num>
  <w:num w:numId="3" w16cid:durableId="1083137486">
    <w:abstractNumId w:val="2"/>
  </w:num>
  <w:num w:numId="4" w16cid:durableId="1675376015">
    <w:abstractNumId w:val="11"/>
  </w:num>
  <w:num w:numId="5" w16cid:durableId="435952856">
    <w:abstractNumId w:val="24"/>
  </w:num>
  <w:num w:numId="6" w16cid:durableId="1805465549">
    <w:abstractNumId w:val="15"/>
  </w:num>
  <w:num w:numId="7" w16cid:durableId="1428892899">
    <w:abstractNumId w:val="4"/>
  </w:num>
  <w:num w:numId="8" w16cid:durableId="1859662576">
    <w:abstractNumId w:val="22"/>
  </w:num>
  <w:num w:numId="9" w16cid:durableId="1434939511">
    <w:abstractNumId w:val="16"/>
  </w:num>
  <w:num w:numId="10" w16cid:durableId="1222643090">
    <w:abstractNumId w:val="14"/>
  </w:num>
  <w:num w:numId="11" w16cid:durableId="475994346">
    <w:abstractNumId w:val="8"/>
  </w:num>
  <w:num w:numId="12" w16cid:durableId="54087459">
    <w:abstractNumId w:val="10"/>
  </w:num>
  <w:num w:numId="13" w16cid:durableId="1631865621">
    <w:abstractNumId w:val="9"/>
  </w:num>
  <w:num w:numId="14" w16cid:durableId="1843819168">
    <w:abstractNumId w:val="7"/>
  </w:num>
  <w:num w:numId="15" w16cid:durableId="648900226">
    <w:abstractNumId w:val="19"/>
  </w:num>
  <w:num w:numId="16" w16cid:durableId="329598544">
    <w:abstractNumId w:val="1"/>
  </w:num>
  <w:num w:numId="17" w16cid:durableId="94449889">
    <w:abstractNumId w:val="13"/>
  </w:num>
  <w:num w:numId="18" w16cid:durableId="1645741284">
    <w:abstractNumId w:val="0"/>
  </w:num>
  <w:num w:numId="19" w16cid:durableId="1221283138">
    <w:abstractNumId w:val="3"/>
  </w:num>
  <w:num w:numId="20" w16cid:durableId="349842921">
    <w:abstractNumId w:val="5"/>
  </w:num>
  <w:num w:numId="21" w16cid:durableId="1758595053">
    <w:abstractNumId w:val="17"/>
  </w:num>
  <w:num w:numId="22" w16cid:durableId="839202558">
    <w:abstractNumId w:val="18"/>
  </w:num>
  <w:num w:numId="23" w16cid:durableId="146479815">
    <w:abstractNumId w:val="21"/>
  </w:num>
  <w:num w:numId="24" w16cid:durableId="19934655">
    <w:abstractNumId w:val="12"/>
  </w:num>
  <w:num w:numId="25" w16cid:durableId="1998076107">
    <w:abstractNumId w:val="23"/>
  </w:num>
  <w:num w:numId="26" w16cid:durableId="19585605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3E"/>
    <w:rsid w:val="00015035"/>
    <w:rsid w:val="00056C6E"/>
    <w:rsid w:val="00134006"/>
    <w:rsid w:val="001503FD"/>
    <w:rsid w:val="001507AE"/>
    <w:rsid w:val="00163B21"/>
    <w:rsid w:val="00187567"/>
    <w:rsid w:val="001C5295"/>
    <w:rsid w:val="002203F3"/>
    <w:rsid w:val="0026344A"/>
    <w:rsid w:val="002F083F"/>
    <w:rsid w:val="003571B4"/>
    <w:rsid w:val="003745A5"/>
    <w:rsid w:val="003B307B"/>
    <w:rsid w:val="004005F0"/>
    <w:rsid w:val="004011A7"/>
    <w:rsid w:val="004019D1"/>
    <w:rsid w:val="00402619"/>
    <w:rsid w:val="004B1ABE"/>
    <w:rsid w:val="004B37EC"/>
    <w:rsid w:val="004C2CE6"/>
    <w:rsid w:val="005109CF"/>
    <w:rsid w:val="00525967"/>
    <w:rsid w:val="00567267"/>
    <w:rsid w:val="005A02A0"/>
    <w:rsid w:val="005F6B00"/>
    <w:rsid w:val="006D233C"/>
    <w:rsid w:val="006E1DA0"/>
    <w:rsid w:val="006F40B8"/>
    <w:rsid w:val="00717DD6"/>
    <w:rsid w:val="007C0324"/>
    <w:rsid w:val="008A64E1"/>
    <w:rsid w:val="008E622C"/>
    <w:rsid w:val="008E64D6"/>
    <w:rsid w:val="008F4EC2"/>
    <w:rsid w:val="009374C5"/>
    <w:rsid w:val="00980039"/>
    <w:rsid w:val="00994C66"/>
    <w:rsid w:val="009F1F11"/>
    <w:rsid w:val="00A7675D"/>
    <w:rsid w:val="00AB1B23"/>
    <w:rsid w:val="00AB4FCB"/>
    <w:rsid w:val="00B90B31"/>
    <w:rsid w:val="00BD6EDB"/>
    <w:rsid w:val="00BE7948"/>
    <w:rsid w:val="00BF694F"/>
    <w:rsid w:val="00C172BE"/>
    <w:rsid w:val="00C3592A"/>
    <w:rsid w:val="00C90418"/>
    <w:rsid w:val="00CC6570"/>
    <w:rsid w:val="00D53712"/>
    <w:rsid w:val="00D721D6"/>
    <w:rsid w:val="00DA2773"/>
    <w:rsid w:val="00DB369F"/>
    <w:rsid w:val="00E7102A"/>
    <w:rsid w:val="00E72D87"/>
    <w:rsid w:val="00F2303E"/>
    <w:rsid w:val="00F423C2"/>
    <w:rsid w:val="00F5252C"/>
    <w:rsid w:val="00F6432F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7DC8E"/>
  <w15:docId w15:val="{C9A2EBFE-7CE4-43F8-927C-9CC6961A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4FCB"/>
    <w:pPr>
      <w:keepNext/>
      <w:keepLines/>
      <w:numPr>
        <w:numId w:val="23"/>
      </w:numPr>
      <w:pBdr>
        <w:left w:val="single" w:sz="8" w:space="4" w:color="F4B083"/>
        <w:bottom w:val="single" w:sz="8" w:space="1" w:color="F4B083"/>
      </w:pBdr>
      <w:spacing w:before="240" w:after="240"/>
      <w:jc w:val="both"/>
      <w:outlineLvl w:val="0"/>
    </w:pPr>
    <w:rPr>
      <w:rFonts w:ascii="Candara" w:eastAsiaTheme="majorEastAsia" w:hAnsi="Candara" w:cstheme="majorBidi"/>
      <w:b/>
      <w:smallCaps/>
      <w:color w:val="F4B083"/>
      <w:sz w:val="36"/>
      <w:szCs w:val="32"/>
      <w:lang w:val="hr-H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4FCB"/>
    <w:pPr>
      <w:keepNext/>
      <w:keepLines/>
      <w:numPr>
        <w:ilvl w:val="1"/>
        <w:numId w:val="23"/>
      </w:numPr>
      <w:pBdr>
        <w:left w:val="single" w:sz="8" w:space="4" w:color="F4B083"/>
        <w:bottom w:val="single" w:sz="8" w:space="1" w:color="F4B083"/>
      </w:pBdr>
      <w:spacing w:before="240" w:after="240"/>
      <w:jc w:val="both"/>
      <w:outlineLvl w:val="1"/>
    </w:pPr>
    <w:rPr>
      <w:rFonts w:ascii="Candara" w:eastAsiaTheme="majorEastAsia" w:hAnsi="Candara" w:cstheme="majorBidi"/>
      <w:b/>
      <w:smallCaps/>
      <w:color w:val="F4B083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FCB"/>
    <w:pPr>
      <w:keepNext/>
      <w:keepLines/>
      <w:numPr>
        <w:ilvl w:val="2"/>
        <w:numId w:val="23"/>
      </w:numPr>
      <w:pBdr>
        <w:bottom w:val="single" w:sz="8" w:space="1" w:color="2F5496" w:themeColor="accent1" w:themeShade="BF"/>
      </w:pBdr>
      <w:spacing w:before="120" w:after="120"/>
      <w:jc w:val="both"/>
      <w:outlineLvl w:val="2"/>
    </w:pPr>
    <w:rPr>
      <w:rFonts w:ascii="Cambria" w:eastAsiaTheme="majorEastAsia" w:hAnsi="Cambria" w:cstheme="majorBidi"/>
      <w:b/>
      <w:color w:val="1F3763" w:themeColor="accent1" w:themeShade="7F"/>
      <w:sz w:val="24"/>
      <w:szCs w:val="24"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FCB"/>
    <w:pPr>
      <w:keepNext/>
      <w:keepLines/>
      <w:numPr>
        <w:ilvl w:val="3"/>
        <w:numId w:val="23"/>
      </w:numPr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FCB"/>
    <w:pPr>
      <w:keepNext/>
      <w:keepLines/>
      <w:numPr>
        <w:ilvl w:val="4"/>
        <w:numId w:val="23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FCB"/>
    <w:pPr>
      <w:keepNext/>
      <w:keepLines/>
      <w:numPr>
        <w:ilvl w:val="5"/>
        <w:numId w:val="23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FCB"/>
    <w:pPr>
      <w:keepNext/>
      <w:keepLines/>
      <w:numPr>
        <w:ilvl w:val="6"/>
        <w:numId w:val="23"/>
      </w:numPr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FCB"/>
    <w:pPr>
      <w:keepNext/>
      <w:keepLines/>
      <w:numPr>
        <w:ilvl w:val="7"/>
        <w:numId w:val="23"/>
      </w:numPr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FCB"/>
    <w:pPr>
      <w:keepNext/>
      <w:keepLines/>
      <w:numPr>
        <w:ilvl w:val="8"/>
        <w:numId w:val="23"/>
      </w:numPr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26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6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F694F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2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B4FCB"/>
    <w:rPr>
      <w:rFonts w:ascii="Candara" w:eastAsiaTheme="majorEastAsia" w:hAnsi="Candara" w:cstheme="majorBidi"/>
      <w:b/>
      <w:smallCaps/>
      <w:color w:val="F4B083"/>
      <w:sz w:val="36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AB4FCB"/>
    <w:rPr>
      <w:rFonts w:ascii="Candara" w:eastAsiaTheme="majorEastAsia" w:hAnsi="Candara" w:cstheme="majorBidi"/>
      <w:b/>
      <w:smallCaps/>
      <w:color w:val="F4B083"/>
      <w:sz w:val="28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AB4FCB"/>
    <w:rPr>
      <w:rFonts w:ascii="Cambria" w:eastAsiaTheme="majorEastAsia" w:hAnsi="Cambria" w:cstheme="majorBidi"/>
      <w:b/>
      <w:color w:val="1F3763" w:themeColor="accent1" w:themeShade="7F"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FCB"/>
    <w:rPr>
      <w:rFonts w:asciiTheme="majorHAnsi" w:eastAsiaTheme="majorEastAsia" w:hAnsiTheme="majorHAnsi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FCB"/>
    <w:rPr>
      <w:rFonts w:asciiTheme="majorHAnsi" w:eastAsiaTheme="majorEastAsia" w:hAnsiTheme="majorHAnsi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FCB"/>
    <w:rPr>
      <w:rFonts w:asciiTheme="majorHAnsi" w:eastAsiaTheme="majorEastAsia" w:hAnsiTheme="majorHAnsi" w:cstheme="majorBidi"/>
      <w:color w:val="1F3763" w:themeColor="accent1" w:themeShade="7F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FCB"/>
    <w:rPr>
      <w:rFonts w:asciiTheme="majorHAnsi" w:eastAsiaTheme="majorEastAsia" w:hAnsiTheme="majorHAnsi" w:cstheme="majorBidi"/>
      <w:i/>
      <w:iCs/>
      <w:color w:val="1F3763" w:themeColor="accent1" w:themeShade="7F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F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F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Bara</dc:creator>
  <cp:lastModifiedBy>Daniel Bara</cp:lastModifiedBy>
  <cp:revision>5</cp:revision>
  <dcterms:created xsi:type="dcterms:W3CDTF">2024-06-19T06:34:00Z</dcterms:created>
  <dcterms:modified xsi:type="dcterms:W3CDTF">2024-06-19T06:36:00Z</dcterms:modified>
</cp:coreProperties>
</file>